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天津市环湖医院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（一）医疗与护理服务：为人民身体健康提供医疗与护理保健服务。 1、提供高水平的专科、专家服务，开设脑血管外科、血管内介入、颅脑创伤、颅内肿瘤、小儿神经外科、功能神经外科及脊柱脊髓、脑血管病、癫痫及睡眠障碍、神经遗传变性病、神经心理和痴呆、神经免疫病、神经肌肉病、中枢系统感染性疾病、神经ICU等住院治疗和门诊治疗服务。承担急危重症和疑难病症诊治任务，开展双向转诊。 2、承担灾害事故的紧急救援及院内急救任务。 3、开展心理卫生、咨询等门诊服务和支持、指导社区、护理、康复医疗服务。 (二)医学教学与研究： 我院已成为国家卫计委卒中筛查与规范诊疗培训内科诊疗技术、介入诊疗技术、颈动脉内膜剥脱技术、超声诊断技术、影像诊断技术等培训基地，2014年成功申报神经内科、神经外科、康复医学、放射专业四项国家级住院医师规范化培训基地。承担天津医科大学、天津中医药大学、天津医学高等专科学校、天津体育学院等高等院校的教学任务，是天津市高等院校教学基地之一。并承担医学研究工作设有天津市痴呆研究所、天津市神经外科研究所、天津市血管介入放射治疗基地、天津市颅脑损伤抢救中心，以及天津市鼻病诊疗中心。 （三）业务技术指导培训工作： 1、履行对医疗机构业务技术指导，并建立经常性的技术指导与合作关系，帮助开展新技术、新项目，解决疑难问题，培养卫生技术和管理人才。 2、完成卫生行政部门规定的卫生支农工作。 3、开展卫生医疗人员培训、卫生技术人员继续教育。 (四)预防保健及保健教育： 1、开展健康教育。 2、承担预防保健、主要慢性非传染性疾病的临床流行病学调查和防治工作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天津市环湖医院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天津市环湖医院(内设21个职能处室)和0个所属预算单位（不含本级），具体构成如下：</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    1.天津市环湖医院本级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天津市环湖医院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55803653.76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292988500.00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1648205480.51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700000.00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1657995946.31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20648729.44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234625500.00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9363000.00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2017646363.71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1902684446.31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111652957.88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24361180.80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27670140.32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720000.00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23641180.80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2042007544.51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2042007544.51</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2017646363.71</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348792153.76</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1648205480.51</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20648729.44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1772957863.71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104103653.76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1648205480.51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20648729.44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1716943909.95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48089700.00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1648205480.51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20648729.44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1716943909.95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48089700.00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1648205480.51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20648729.44</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925953.76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925953.76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925953.76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925953.76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6058000.00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6058000.00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4512000.00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4512000.00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1546000.00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1546000.00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234625500.00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234625500.00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其他政府性基金及对应专项债务收入安排的支出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234625500.00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234625500.00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2290402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其他地方自行试点项目收益专项债券收入安排的支出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234625500.00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234625500.00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9363000.00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9363000.00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9363000.00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9363000.00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9363000.00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9363000.00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天津市环湖医院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2042007544.51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2017646363.71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55803653.76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292988500.00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1648205480.51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20648729.44</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368216</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天津市环湖医院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2042007544.51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2017646363.71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55803653.76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292988500.00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1648205480.51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20648729.44</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天津市环湖医院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24361180.80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720000.00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720000.00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23641180.80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23641180.80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368216</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天津市环湖医院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24361180.80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720000.00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720000.00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23641180.80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23641180.80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1902684446.31</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859749275.70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1042935170.61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1657995946.31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859749275.70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798246670.61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1601981992.55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853691275.70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748290716.85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其他专科医院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1601981992.55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853691275.70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748290716.85</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4512000.00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4512000.00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1546000.00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1546000.00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中医药事务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中医（民族医）药专项</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234625500.00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234625500.00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其他政府性基金及对应专项债务收入安排的支出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234625500.00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234625500.00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2290402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其他地方自行试点项目收益专项债券收入安排的支出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234625500.00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234625500.00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9363000.00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9363000.00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地方政府专项债务付息支出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9363000.00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9363000.00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9363000.00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9363000.00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55803653.76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292988500.00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700000.00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700000.00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104103653.76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55103653.76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49000000.00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234625500.00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234625500.00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9363000.00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9363000.00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348792153.76</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348792153.76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55803653.76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292988500.00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720000.00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720000.00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720000.00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720000.00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349512153.76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349512153.76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56523653.76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292988500.00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天津市环湖医院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55803653.76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41605000.00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41192000.00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14198653.76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55103653.76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41605000.00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41192000.00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13498653.76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48089700.00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35547000.00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35134000.00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12542700.00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其他专科医院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48089700.00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35547000.00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35134000.00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12542700.00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925953.76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中医药事务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中医（民族医）药专项</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38445000.00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32613000.00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5322123.40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208876.60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2747000.00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2220000.00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527000.00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41192000.00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413000.00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292988500.00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292988500.00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292988500.00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2109801</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其他政府性基金及对应专项债务收入安排的支出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其他地方自行试点项目收益专项债券收入安排的支出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地方政府专项债务付息支出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天津市环湖医院2025年度国有资本经营预算财政拨款收入支出决算表为空表。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天津市环湖医院2025年财政拨款“三公”经费支出决算表为空表。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天津市环湖医院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1042935170.61</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14198653.76</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292988500.00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735748016.85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第二批卫生健康行业高层次人才选拔培养工程70万（王博5万）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第二批卫生健康行业高层次人才选拔培养工程70万（岳伟10万）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第二批卫生健康行业高层次人才选拔培养工程70万（孙树鹏5万）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第二批卫生健康行业高层次人才选拔培养工程70万（王红光5万）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第二批卫生健康行业高层次人才选拔培养工程70万（佟小光20万）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第二批卫生健康行业高层次人才选拔培养工程70万（王盼5万）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第二批卫生健康行业高层次人才选拔培养工程70万（李攀5万）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第二批卫生健康行业高层次人才选拔培养工程70万（高伟伟5万）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第二批卫生健康行业高层次人才选拔培养工程70万（韩彤10万）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798246670.61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13498653.76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735748016.85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748290716.85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12542700.00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735748016.85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748290716.85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12542700.00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735748016.85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2024年紧缺人才培训（临床药师培训）中央第二批 药剂科1.5万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2024年国家临床重点专科能力建设项目（500万）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4977200.00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4977200.00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住院医师规范化培训（2025年市级23万）姜红梅11万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2025年住院医师规范化培训中央专项款36万（闫华18万）【2025】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住院医师规范化培训（2025年市级23万）闫华12万【2025】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44300.00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44300.00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卫生健康系统对口支援帮扶（2025年市级）人事科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卫生健康系统对口支援帮扶（2025年市级）医务科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卫生健康系统对口支援帮扶（2025年市级）组织科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2025年住院医师规范化培训中央专项款36万（姜红梅18万）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171800.00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基层慢病管理及救治单元能力提升（2025年市级10万元）岳伟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县乡村卫生人才能力培训（直达资金）2024年医疗服务与保障能力提升（第二批）1.35万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中医药事业创新发展（2025年市级5.5万）-吴江莹1万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中医药事业创新发展（2025年市级5.5万）-岳伟1万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专科学科能力建设（2025年一般债）600万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2025年中医药事业创新发展（市级5.5万元）-高晓刚0.5万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2025年中医药事业创新发展（市级5.5万元）-刘帅3万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2025年住院医师规范化培训（中央第二批）-姜红梅4.5万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住院医师规范化培训2025年第二批中央医疗服务与保障能力提升-闫华4.5万元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县乡村卫生人才能力培养-2025年第二批闫华1.5万元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2025年紧缺人才培训（临床药师培养）中央第二批 药剂科1.5万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2025年紧缺人才培训（临床药师（药师上岗培训））中央第二批 0.8万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2025年紧缺人才培训（康复科医师培训）中央第二批 康复科5万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2025年市级卫生健康社会宣传教育项目1万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2025年传染病监测预警与应急指挥能力提升（传染病四大症候群监测）中央1.4万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2025质控中心专项经费（财务3万）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2025质控中心专项经费（医保3万）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2025年卫生健康质控中心-神内3万元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2025质控中心专项经费（神外3万）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2025质控中心专项经费（高压氧3万）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自有收入-药品耗材及资产购置（2025年）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692399458.57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692399458.57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自有收入-工程建设信息化及其他（2025年）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33507826.29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33507826.29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科教项目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9840731.99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9840731.99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925953.76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925953.76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925953.76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925953.76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2024年重大传染病防控经费（第一批65万）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2024年重大传染病防控经费（第二批28万）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266200.00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266200.00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2025年中央重大公共卫生服务脑卒中高危人群筛查和干预项目84万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29753.76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29753.76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2025年紧缺人才培训（临床药师（药师岗位培训））3万元</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2025年超长期特别国债-医疗设备更新项目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其他政府性基金及对应专项债务收入安排的支出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其他地方自行试点项目收益专项债券收入安排的支出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原址改扩建工程专项债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原址改扩建工程专项债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原址改扩建工程专项债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24625500.00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专项债-天津市环湖医院原址改扩建工程（2025年专项债付息）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天津市环湖医院原址改扩建工程（2025年专项债券付息）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2,042,007,544.51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减少121,081,707.41元，下降5.60%</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事业收入和政府性资金预算拨款收入减少，导致收入减少、支出相应减少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一般公共预算财政拨款收入55,803,653.76元、政府性基金预算财政拨款收入292,988,500.00元、事业收入1,648,205,480.51元、其他收入20,648,729.44元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社会保障和就业支出700,000.00元、卫生健康支出1,657,995,946.31元、其他支出234,625,500.00元、债务付息支出9,363,000.00元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天津市环湖医院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2,017,646,363.71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减少102,121,505.19元，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事业收入和政府性资金预算拨款收入减少，导致收入减少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一般公共预算财政拨款收入55,803,653.76元，占2.77%；政府性基金预算财政拨款收入292,988,500.00元，占14.52%；事业收入1,648,205,480.51元，占81.69%；其他收入20,648,729.44元，占1.02%</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天津市环湖医院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1,902,684,446.31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减少236,043,624.81元，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事业收入和政府性资金预算拨款收入减少，导致收入减少、支出相应减少</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基本支出859,749,275.70元，占45.19%；项目支出1,042,935,170.61元，占54.81%</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349,512,153.76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减少20,463,953.93元，下降5.53%，</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政府性资金预算拨款收入减少、支出相应减少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一般公共预算财政拨款55,803,653.76元、政府性基金预算财政拨款292,988,500.00元、年初财政拨款结转和结余720,000.00元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社会保障和就业支出700,000.00元、卫生健康支出104,103,653.76元、其他支出234,625,500.00元、债务付息支出9,363,000.00元、年末财政拨款结转和结余720,000.00元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天津市环湖医院2025年度一般公共预算财政拨款支出合计55,803,653.76元，占本年支出合计的2.93%。与2024年度相比，一般公共预算财政拨款支出</w:t>
      </w:r>
      <w:r>
        <w:rPr>
          <w:rFonts w:eastAsia="仿宋_GB2312" w:hint="eastAsia"/>
          <w:sz w:val="30"/>
          <w:szCs w:val="30"/>
          <w:highlight w:val="none"/>
          <w:lang w:val="en-US" w:eastAsia="zh-CN"/>
        </w:rPr>
        <w:t xml:space="preserve">增加11,922,033.32元</w:t>
      </w:r>
      <w:r>
        <w:rPr>
          <w:rFonts w:eastAsia="仿宋_GB2312" w:hint="eastAsia"/>
          <w:sz w:val="30"/>
          <w:szCs w:val="30"/>
          <w:highlight w:val="none"/>
          <w:lang w:val="en-US" w:eastAsia="zh-CN"/>
        </w:rPr>
        <w:t xml:space="preserve">，增长27.17%</w:t>
      </w:r>
      <w:r>
        <w:rPr>
          <w:rFonts w:eastAsia="仿宋_GB2312" w:hint="eastAsia"/>
          <w:sz w:val="30"/>
          <w:szCs w:val="30"/>
          <w:highlight w:val="none"/>
          <w:lang w:val="en-US" w:eastAsia="zh-CN"/>
        </w:rPr>
        <w:t xml:space="preserve">，主要原因是主要原因是财政拨款基本支出增加，财政拨款项目支出增加。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2025年度一般公共预算财政拨款支出55,803,653.76元，主要用于以下方面：</w:t>
      </w:r>
      <w:r>
        <w:rPr>
          <w:rFonts w:eastAsia="仿宋_GB2312" w:hint="eastAsia"/>
          <w:sz w:val="30"/>
          <w:szCs w:val="30"/>
          <w:highlight w:val="none"/>
        </w:rPr>
        <w:t xml:space="preserve">社会保障和就业支出（类）支出700,000.00元，占1.25%，卫生健康支出（类）支出55,103,653.76元，占98.75%</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2025年度一般公共预算财政拨款支出年初预算为50,856,700.00元，支出决算为55,803,653.76元</w:t>
      </w:r>
      <w:r>
        <w:rPr>
          <w:rFonts w:eastAsia="仿宋_GB2312" w:hint="eastAsia"/>
          <w:sz w:val="30"/>
          <w:szCs w:val="30"/>
          <w:highlight w:val="none"/>
          <w:lang w:val="en-US" w:eastAsia="zh-CN"/>
        </w:rPr>
        <w:t xml:space="preserve">，完成年初预算的109.73%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700,000.00元，决算数大于年初预算数的主要原因是：该预算在年中进行追加调整，我院根据委下达的任务完成了任务并结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卫生健康支出（类）公立医院（款）其他专科医院（项）年初预算为43,032,500.00元，支出决算为48,089,700.00元，完成年初预算的111.75%，决算数大于年初预算数的主要原因是：该预算在年中进行追加调整，我院根据委下达的任务完成了任务并结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共卫生（款）重大公共卫生服务（项）年初预算为1,736,200.00元，支出决算为925,953.76元，完成年初预算的53.33%，决算数小于年初预算数的主要原因是：该任务已完成，项目随访部分经费结转下年继续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4.卫生健康支出（类）行政事业单位医疗（款）事业单位医疗（项）年初预算为4,512,000.00元，支出决算为4,512,000.00元，完成年初预算的100.00%，决算数与年初预算数持平的主要原因是：完成了本年任务。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其他行政事业单位医疗支出（项）年初预算为1,546,000.00元，支出决算为1,546,000.00元，完成年初预算的100.00%，决算数与年初预算数持平的主要原因是：完成了本年任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6.卫生健康支出（类）中医药事务（款）中医（民族医）药专项（项）年初预算为30,000.00元，支出决算为30,000.00元，完成年初预算的100.00%，决算数与年初预算数持平的主要原因是：完成了本年任务。</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天津市环湖医院2025年度一般公共预算财政拨款基本支出合计41,605,000.00元，与2024年度相比</w:t>
      </w:r>
      <w:r>
        <w:rPr>
          <w:rFonts w:eastAsia="仿宋_GB2312" w:hint="eastAsia"/>
          <w:sz w:val="30"/>
          <w:szCs w:val="30"/>
          <w:highlight w:val="none"/>
          <w:lang w:val="en-US" w:eastAsia="zh-CN"/>
        </w:rPr>
        <w:t xml:space="preserve">增加804,000.00元，</w:t>
      </w:r>
      <w:r>
        <w:rPr>
          <w:rFonts w:eastAsia="仿宋_GB2312" w:hint="eastAsia"/>
          <w:sz w:val="30"/>
          <w:szCs w:val="30"/>
          <w:highlight w:val="none"/>
          <w:lang w:val="en-US" w:eastAsia="zh-CN"/>
        </w:rPr>
        <w:t xml:space="preserve">主要原因是我单位人员数变动，根据人数计算的基本养老保险缴费与职业年金补助数额有变化，故一般公共预算财政拨款基本支出增加。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人员经费41,192,000.00元，主要包括</w:t>
      </w:r>
      <w:r>
        <w:rPr>
          <w:rFonts w:eastAsia="仿宋_GB2312" w:hint="eastAsia"/>
          <w:sz w:val="30"/>
          <w:szCs w:val="30"/>
          <w:highlight w:val="none"/>
          <w:lang w:val="en-US" w:eastAsia="zh-CN"/>
        </w:rPr>
        <w:t xml:space="preserve">基本工资、机关事业单位基本养老保险缴费、职工基本医疗保险缴费、医疗费、退休费、其他对个人和家庭的补助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公用经费413,000.00元，主要包括</w:t>
      </w:r>
      <w:r>
        <w:rPr>
          <w:rFonts w:eastAsia="仿宋_GB2312" w:hint="eastAsia"/>
          <w:sz w:val="30"/>
          <w:szCs w:val="30"/>
          <w:highlight w:val="none"/>
          <w:lang w:val="en-US" w:eastAsia="zh-CN"/>
        </w:rPr>
        <w:t xml:space="preserve">福利费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天津市环湖医院2025年度政府性基金预算财政拨款年初结转和结余0.00元，收入292,988,500.00元，支出292,988,500.00元，年末结转和结余0.00元。与2024年度相比，政府性基金预算财政拨款支出</w:t>
      </w:r>
      <w:r>
        <w:rPr>
          <w:rFonts w:eastAsia="仿宋_GB2312" w:hint="eastAsia"/>
          <w:sz w:val="30"/>
          <w:szCs w:val="30"/>
          <w:highlight w:val="none"/>
          <w:lang w:val="en-US" w:eastAsia="zh-CN"/>
        </w:rPr>
        <w:t xml:space="preserve">减少32,385,987.25元，</w:t>
      </w:r>
      <w:r>
        <w:rPr>
          <w:rFonts w:eastAsia="仿宋_GB2312" w:hint="eastAsia"/>
          <w:sz w:val="30"/>
          <w:szCs w:val="30"/>
          <w:highlight w:val="none"/>
          <w:lang w:val="en-US" w:eastAsia="zh-CN"/>
        </w:rPr>
        <w:t xml:space="preserve">下降9.95%，</w:t>
      </w:r>
      <w:r>
        <w:rPr>
          <w:rFonts w:eastAsia="仿宋_GB2312" w:hint="eastAsia"/>
          <w:sz w:val="30"/>
          <w:szCs w:val="30"/>
          <w:highlight w:val="none"/>
          <w:lang w:val="en-US" w:eastAsia="zh-CN"/>
        </w:rPr>
        <w:t xml:space="preserve">主要原因是本年我院原址改扩建工程竣工，该项目申请的地方政府专项债券金额较上年有所减少。</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2025年度政府性基金预算财政拨款支出292,988,500.00元，主要用于以下方面：</w:t>
      </w:r>
      <w:r>
        <w:rPr>
          <w:rFonts w:eastAsia="仿宋_GB2312" w:hint="eastAsia"/>
          <w:sz w:val="28"/>
          <w:szCs w:val="28"/>
          <w:highlight w:val="none"/>
        </w:rPr>
        <w:t xml:space="preserve">卫生健康支出（类）支出49,000,000.00元，占16.72%，其他支出（类）支出234,625,500.00元，占80.08%，债务付息支出（类）支出9,363,000.00元，占3.20%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2025年度政府性基金预算财政拨款支出年初预算为32,745,500.00元，支出决算为292,988,500.00元</w:t>
      </w:r>
      <w:r>
        <w:rPr>
          <w:rFonts w:eastAsia="仿宋_GB2312" w:hint="eastAsia"/>
          <w:sz w:val="30"/>
          <w:szCs w:val="30"/>
          <w:highlight w:val="none"/>
          <w:lang w:val="en-US" w:eastAsia="zh-CN"/>
        </w:rPr>
        <w:t xml:space="preserve">，完成年初预算的894.74%</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卫生健康支出（类）超长期特别国债安排的支出（款）公立医院（项）年初预算为0.00元，支出决算为49,000,000.00元，决算数大于年初预算数的主要原因是：该预算在年中进行追加调整，根据委下达的任务完成了任务并结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其他支出（类）其他政府性基金及对应专项债务收入安排的支出（款）其他地方自行试点项目收益专项债券收入安排的支出（项）年初预算为24,625,500.00元，支出决算为234,625,500.00元，完成年初预算的952.77%，决算数大于年初预算数的主要原因是：增加了地方政府专项债券用于原址改扩建项目建设。</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债务付息支出（类）地方政府专项债务付息支出（款）其他地方自行试点项目收益专项债券付息支出（项）年初预算为8,120,000.00元，支出决算为9,363,000.00元，完成年初预算的115.31%，决算数大于年初预算数的主要原因是：申请增加了地方政府专项债券、同时增加了利息支出。</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环湖医院2025年政府采购支出总额309,991,000.00元，其中：政府采购货物支出122,503,500.00元、政府采购工程支出0.00元、政府采购服务支出187,487,500.00元。授予中小企业合同金额13,576,900.00元，占政府采购支出总额的4.38%，其中：授予小微企业合同金额7,453,600.00元，占政府采购支出总额的2.40%；货物采购授予中小企业合同金额占货物支出金额的0.00%，工程采购授予中小企业合同金额占工程支出金额的0.00%，服务采购授予中小企业合同金额占服务支出金额的7.24%。</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截至2025年12月31日，天津市环湖医院共有车辆2辆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其他用车2辆</w:t>
      </w:r>
      <w:r>
        <w:rPr>
          <w:rFonts w:eastAsia="仿宋_GB2312" w:hint="eastAsia"/>
          <w:sz w:val="30"/>
          <w:szCs w:val="30"/>
          <w:highlight w:val="none"/>
          <w:lang w:val="en-US" w:eastAsia="zh-CN"/>
        </w:rPr>
        <w:t xml:space="preserve">，其他用车主要包括轿车2辆</w:t>
      </w:r>
      <w:r>
        <w:rPr>
          <w:rFonts w:eastAsia="仿宋_GB2312" w:hint="eastAsia"/>
          <w:sz w:val="30"/>
          <w:szCs w:val="30"/>
          <w:highlight w:val="none"/>
          <w:lang w:val="en-US" w:eastAsia="zh-CN"/>
        </w:rPr>
        <w:t xml:space="preserve">。单价100万元以上的设备115台（套）。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根据预算绩效管理要求，天津市环湖医院已对16个2025年度市级项目开展绩效自评，涉及金额2329617400元，自评结果已随部门决算一并公开。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天津市环湖医院不属于乡、镇、街级单位，不涉及公开2025年度教育、医疗卫生、社会保障和就业、住房保障、涉农补贴等民生支出情况。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5FBC92CD-F282-49C4-A647-CEB64FE229EF}"/>
    <w:embedBold r:id="rId2" w:subsetted="1" w:fontKey="{9A90414E-1F84-4E60-B141-E8FC09A4F76C}"/>
  </w:font>
  <w:font w:name="Cambria">
    <w:panose1 w:val="02040503050406030204"/>
    <w:charset w:val="00"/>
    <w:family w:val="roman"/>
    <w:pitch w:val="default"/>
    <w:sig w:usb0="E00006FF" w:usb1="420024FF" w:usb2="02000000" w:usb3="00000000" w:csb0="2000019F" w:csb1="00000000"/>
    <w:embedRegular r:id="rId3" w:fontKey="{26A51E6F-DA6E-4319-A153-DF6F7328A206}"/>
  </w:font>
  <w:font w:name="Calibri">
    <w:panose1 w:val="020F0502020204030204"/>
    <w:charset w:val="00"/>
    <w:family w:val="swiss"/>
    <w:pitch w:val="default"/>
    <w:sig w:usb0="E4002EFF" w:usb1="C200247B" w:usb2="00000009" w:usb3="00000000" w:csb0="200001FF" w:csb1="00000000"/>
    <w:embedRegular r:id="rId4" w:fontKey="{22437FCB-EE0A-46A5-A920-F4BF1770AE95}"/>
  </w:font>
  <w:font w:name="黑体">
    <w:panose1 w:val="02010609060101010101"/>
    <w:charset w:val="FFFFFF86"/>
    <w:family w:val="auto"/>
    <w:pitch w:val="default"/>
    <w:sig w:usb0="800002BF" w:usb1="38CF7CFA" w:usb2="00000016" w:usb3="00000000" w:csb0="00040001" w:csb1="00000000"/>
    <w:embedRegular r:id="rId5" w:subsetted="1" w:fontKey="{88C4AAA2-DF7A-48F5-9184-48B0124F50AB}"/>
    <w:embedBold r:id="rId6" w:subsetted="1" w:fontKey="{575AC44F-0BD2-465E-B48E-DF10A6C94D9A}"/>
  </w:font>
  <w:font w:name="方正小标宋简体">
    <w:altName w:val="黑体"/>
    <w:panose1 w:val="02000000000000000000"/>
    <w:charset w:val="FFFFFF86"/>
    <w:family w:val="auto"/>
    <w:pitch w:val="default"/>
    <w:sig w:usb0="00000001" w:usb1="08000000" w:usb2="00000000" w:usb3="00000000" w:csb0="00040000" w:csb1="00000000"/>
    <w:embedRegular r:id="rId7" w:fontKey="{35995F08-E63C-4F20-B37A-D17DB4E86211}"/>
    <w:embedBold r:id="rId8" w:fontKey="{8B1D7BF3-9302-405A-84AF-8482B5155DAD}"/>
  </w:font>
  <w:font w:name="仿宋">
    <w:panose1 w:val="02010609060101010101"/>
    <w:charset w:val="FFFFFF86"/>
    <w:family w:val="auto"/>
    <w:pitch w:val="default"/>
    <w:sig w:usb0="800002BF" w:usb1="38CF7CFA" w:usb2="00000016" w:usb3="00000000" w:csb0="00040001" w:csb1="00000000"/>
    <w:embedRegular r:id="rId9" w:subsetted="1" w:fontKey="{53404025-1330-4476-AB8C-7D5E1FFAAE76}"/>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3C690452-20B9-4000-B512-6263A1391FC4}"/>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15C20584-290D-45AC-8CFC-6C1D790D6E8D}"/>
    <w:embedBold r:id="rId12" w:subsetted="1" w:fontKey="{AF9D6974-5BE2-4C58-A0D4-EC3E111EF419}"/>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37</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40</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